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4724" w14:textId="2DD4288B" w:rsidR="008122F5" w:rsidRDefault="00E55CD9" w:rsidP="00D864E6">
      <w:pPr>
        <w:autoSpaceDE w:val="0"/>
        <w:autoSpaceDN w:val="0"/>
        <w:adjustRightInd w:val="0"/>
        <w:rPr>
          <w:rFonts w:cs="AppleSystemUIFont"/>
          <w:kern w:val="0"/>
          <w:sz w:val="26"/>
          <w:szCs w:val="26"/>
        </w:rPr>
      </w:pPr>
      <w:r w:rsidRPr="00C155FB">
        <w:rPr>
          <w:rFonts w:ascii="Montserrat" w:eastAsia="Times New Roman" w:hAnsi="Montserrat" w:cs="Sitka Banner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74E40121" wp14:editId="21E7498F">
            <wp:simplePos x="0" y="0"/>
            <wp:positionH relativeFrom="page">
              <wp:posOffset>-354965</wp:posOffset>
            </wp:positionH>
            <wp:positionV relativeFrom="page">
              <wp:posOffset>-423545</wp:posOffset>
            </wp:positionV>
            <wp:extent cx="3105150" cy="1591310"/>
            <wp:effectExtent l="0" t="0" r="0" b="0"/>
            <wp:wrapNone/>
            <wp:docPr id="384667867" name="Immagine 38466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03907" name="Immagine 10962039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ppleSystemUIFont"/>
          <w:kern w:val="0"/>
          <w:sz w:val="26"/>
          <w:szCs w:val="26"/>
        </w:rPr>
        <w:t xml:space="preserve">                                                                                                                       </w:t>
      </w:r>
      <w:r w:rsidRPr="00000127">
        <w:rPr>
          <w:rFonts w:ascii="Montserrat" w:eastAsia="Times New Roman" w:hAnsi="Montserrat" w:cs="Sitka Banner"/>
          <w:color w:val="222A35" w:themeColor="text2" w:themeShade="80"/>
          <w:lang w:eastAsia="ru-RU"/>
        </w:rPr>
        <w:t xml:space="preserve">The </w:t>
      </w:r>
      <w:proofErr w:type="spellStart"/>
      <w:r w:rsidRPr="00000127">
        <w:rPr>
          <w:rFonts w:ascii="Montserrat" w:eastAsia="Times New Roman" w:hAnsi="Montserrat" w:cs="Sitka Banner"/>
          <w:color w:val="222A35" w:themeColor="text2" w:themeShade="80"/>
          <w:lang w:eastAsia="ru-RU"/>
        </w:rPr>
        <w:t>planet’s</w:t>
      </w:r>
      <w:proofErr w:type="spellEnd"/>
      <w:r w:rsidRPr="00000127">
        <w:rPr>
          <w:rFonts w:ascii="Montserrat" w:eastAsia="Times New Roman" w:hAnsi="Montserrat" w:cs="Sitka Banner"/>
          <w:color w:val="222A35" w:themeColor="text2" w:themeShade="80"/>
          <w:lang w:eastAsia="ru-RU"/>
        </w:rPr>
        <w:t xml:space="preserve"> </w:t>
      </w:r>
      <w:proofErr w:type="spellStart"/>
      <w:r w:rsidRPr="00000127">
        <w:rPr>
          <w:rFonts w:ascii="Montserrat" w:eastAsia="Times New Roman" w:hAnsi="Montserrat" w:cs="Sitka Banner"/>
          <w:color w:val="222A35" w:themeColor="text2" w:themeShade="80"/>
          <w:lang w:eastAsia="ru-RU"/>
        </w:rPr>
        <w:t>pathways</w:t>
      </w:r>
      <w:proofErr w:type="spellEnd"/>
    </w:p>
    <w:p w14:paraId="7C302FFB" w14:textId="34BFC482" w:rsidR="008122F5" w:rsidRDefault="008122F5" w:rsidP="00D864E6">
      <w:pPr>
        <w:autoSpaceDE w:val="0"/>
        <w:autoSpaceDN w:val="0"/>
        <w:adjustRightInd w:val="0"/>
        <w:rPr>
          <w:rFonts w:cs="AppleSystemUIFont"/>
          <w:kern w:val="0"/>
          <w:sz w:val="26"/>
          <w:szCs w:val="26"/>
        </w:rPr>
      </w:pPr>
    </w:p>
    <w:p w14:paraId="230A3219" w14:textId="13B08330" w:rsidR="008122F5" w:rsidRDefault="008122F5" w:rsidP="00D864E6">
      <w:pPr>
        <w:autoSpaceDE w:val="0"/>
        <w:autoSpaceDN w:val="0"/>
        <w:adjustRightInd w:val="0"/>
        <w:rPr>
          <w:rFonts w:cs="AppleSystemUIFont"/>
          <w:kern w:val="0"/>
          <w:sz w:val="26"/>
          <w:szCs w:val="26"/>
        </w:rPr>
      </w:pPr>
    </w:p>
    <w:p w14:paraId="396E8610" w14:textId="70CAC428" w:rsidR="008122F5" w:rsidRDefault="008122F5" w:rsidP="00D864E6">
      <w:pPr>
        <w:autoSpaceDE w:val="0"/>
        <w:autoSpaceDN w:val="0"/>
        <w:adjustRightInd w:val="0"/>
        <w:rPr>
          <w:rFonts w:cs="AppleSystemUIFont"/>
          <w:kern w:val="0"/>
          <w:sz w:val="26"/>
          <w:szCs w:val="26"/>
        </w:rPr>
      </w:pPr>
    </w:p>
    <w:p w14:paraId="331CB2D9" w14:textId="77777777" w:rsidR="000D12FF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PRESS RELEASE</w:t>
      </w:r>
    </w:p>
    <w:p w14:paraId="603731B4" w14:textId="2885E130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ИНТЕГРИРОВАННЫЕ РЕЗУЛЬТАТЫ ПО СОСТОЯНИЮ НА 31 ДЕКАБРЯ 2023 ГОДА</w:t>
      </w:r>
    </w:p>
    <w:p w14:paraId="603731B5" w14:textId="3CDD9D18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B6" w14:textId="5C1AA600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ВЫДАЮЩИЕСЯ РЕЗУЛЬТАТЫ</w:t>
      </w:r>
    </w:p>
    <w:p w14:paraId="603731B7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B8" w14:textId="1B4DDE75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Р</w:t>
      </w:r>
      <w:r w:rsidR="000D12FF" w:rsidRPr="00E33525">
        <w:rPr>
          <w:rFonts w:ascii="Montserrat" w:hAnsi="Montserrat" w:cs="AppleSystemUIFont"/>
          <w:kern w:val="0"/>
          <w:sz w:val="20"/>
          <w:szCs w:val="20"/>
        </w:rPr>
        <w:t>ОСТ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МАРЖИ И </w:t>
      </w:r>
      <w:r w:rsidR="000D12FF" w:rsidRPr="00E33525">
        <w:rPr>
          <w:rFonts w:ascii="Montserrat" w:hAnsi="Montserrat" w:cs="AppleSystemUIFont"/>
          <w:kern w:val="0"/>
          <w:sz w:val="20"/>
          <w:szCs w:val="20"/>
        </w:rPr>
        <w:t>МОЩНАЯ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ГЕНЕРАЦИЯ ДЕНЕЖНЫХ СРЕДСТВ</w:t>
      </w:r>
    </w:p>
    <w:p w14:paraId="603731B9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BA" w14:textId="538BEF91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Хорошо продвигаемся к достижению целей на среднесрочную перспективу в соответствии со стратегией </w:t>
      </w:r>
      <w:r w:rsidR="003B6CF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CONNECT</w:t>
      </w:r>
      <w:r w:rsidR="003B6CFE" w:rsidRPr="00E33525">
        <w:rPr>
          <w:rFonts w:ascii="Montserrat" w:hAnsi="Montserrat" w:cs="AppleSystemUIFont"/>
          <w:kern w:val="0"/>
          <w:sz w:val="20"/>
          <w:szCs w:val="20"/>
        </w:rPr>
        <w:t xml:space="preserve"> </w:t>
      </w:r>
      <w:r w:rsidR="003B6CF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TO</w:t>
      </w:r>
      <w:r w:rsidR="003B6CFE" w:rsidRPr="00E33525">
        <w:rPr>
          <w:rFonts w:ascii="Montserrat" w:hAnsi="Montserrat" w:cs="AppleSystemUIFont"/>
          <w:kern w:val="0"/>
          <w:sz w:val="20"/>
          <w:szCs w:val="20"/>
        </w:rPr>
        <w:t xml:space="preserve"> </w:t>
      </w:r>
      <w:r w:rsidR="003B6CF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LEAD</w:t>
      </w:r>
    </w:p>
    <w:p w14:paraId="603731BB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BC" w14:textId="76BB0303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ВПЕЧАТЛЯЮЩАЯ РАБОТА В 2023 ГОДУ:</w:t>
      </w:r>
    </w:p>
    <w:p w14:paraId="603731BD" w14:textId="4B9F0C29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 - Поправочный EBITDA составил 1628 млн евро (+9,4% по сравнению с 2022 годом) с </w:t>
      </w:r>
      <w:r w:rsidR="001C4F0D" w:rsidRPr="00E33525">
        <w:rPr>
          <w:rFonts w:ascii="Montserrat" w:hAnsi="Montserrat" w:cs="AppleSystemUIFont"/>
          <w:kern w:val="0"/>
          <w:sz w:val="20"/>
          <w:szCs w:val="20"/>
        </w:rPr>
        <w:t>ростом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маржи до 10,6% (9,3% в 2022 году)</w:t>
      </w:r>
    </w:p>
    <w:p w14:paraId="603731BE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 - Увеличение чистой прибыли группы до 529 млн евро (504 млн евро в 2022 году)</w:t>
      </w:r>
    </w:p>
    <w:p w14:paraId="603731BF" w14:textId="4B42FB95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 - </w:t>
      </w:r>
      <w:r w:rsidR="00F25555" w:rsidRPr="00E33525">
        <w:rPr>
          <w:rFonts w:ascii="Montserrat" w:hAnsi="Montserrat" w:cs="AppleSystemUIFont"/>
          <w:kern w:val="0"/>
          <w:sz w:val="20"/>
          <w:szCs w:val="20"/>
        </w:rPr>
        <w:t>Мощная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генерация денежных средств с чистым денежным потоком в размере 724 млн евро (+29,5% по сравнению с 2022 годом)</w:t>
      </w:r>
    </w:p>
    <w:p w14:paraId="603731C0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C1" w14:textId="710D83AB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- РЕКОРДНЫЙ БЕКЛОГ ПО ПЕРЕДАЧЕ В РАЗМЕРЕ 18 МИЛЛИАРДОВ ЕВРО</w:t>
      </w:r>
    </w:p>
    <w:p w14:paraId="603731C2" w14:textId="0D7CD9B1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- ПОВЫШЕНИЕ ЦЕЛИ ПО СНИЖЕНИЮ ВЫБРОСОВ </w:t>
      </w:r>
      <w:proofErr w:type="spellStart"/>
      <w:r w:rsidR="00BE315E" w:rsidRPr="00E33525">
        <w:rPr>
          <w:rFonts w:ascii="Montserrat" w:hAnsi="Montserrat" w:cs="AppleSystemUIFont"/>
          <w:kern w:val="0"/>
          <w:sz w:val="20"/>
          <w:szCs w:val="20"/>
        </w:rPr>
        <w:t>Scope</w:t>
      </w:r>
      <w:proofErr w:type="spellEnd"/>
      <w:r w:rsidR="00BE315E" w:rsidRPr="00E33525">
        <w:rPr>
          <w:rFonts w:ascii="Montserrat" w:hAnsi="Montserrat" w:cs="AppleSystemUIFont"/>
          <w:kern w:val="0"/>
          <w:sz w:val="20"/>
          <w:szCs w:val="20"/>
        </w:rPr>
        <w:t xml:space="preserve"> 1&amp;2 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К 2030 ГОДУ ДО </w:t>
      </w:r>
      <w:proofErr w:type="gramStart"/>
      <w:r w:rsidRPr="00E33525">
        <w:rPr>
          <w:rFonts w:ascii="Montserrat" w:hAnsi="Montserrat" w:cs="AppleSystemUIFont"/>
          <w:kern w:val="0"/>
          <w:sz w:val="20"/>
          <w:szCs w:val="20"/>
        </w:rPr>
        <w:t>55-60</w:t>
      </w:r>
      <w:proofErr w:type="gramEnd"/>
      <w:r w:rsidRPr="00E33525">
        <w:rPr>
          <w:rFonts w:ascii="Montserrat" w:hAnsi="Montserrat" w:cs="AppleSystemUIFont"/>
          <w:kern w:val="0"/>
          <w:sz w:val="20"/>
          <w:szCs w:val="20"/>
        </w:rPr>
        <w:t>% С 47%</w:t>
      </w:r>
    </w:p>
    <w:p w14:paraId="603731C3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C4" w14:textId="09EFB5B5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- ПРЕДЛОЖЕНИЕ О ПОВЫШЕНИИ ДИВИДЕНДОВ ДО 0,70 ЕВРО НА АКЦИЮ (+16,7% ПО СРАВНЕНИЮ С 2022 ГОДОМ)</w:t>
      </w:r>
    </w:p>
    <w:p w14:paraId="603731C5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C6" w14:textId="22EF62DB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- ПЕРСПЕКТИВЫ НА 2024 ГОД:</w:t>
      </w:r>
    </w:p>
    <w:p w14:paraId="603731C7" w14:textId="06C849BC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- Ожидается поправочный EBITDA в диапазоне 1575–1675 млн евро</w:t>
      </w:r>
    </w:p>
    <w:p w14:paraId="7015792F" w14:textId="77777777" w:rsidR="001B5677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- Ожидается чистый денежный поток в диапазоне 675–775 млн евро</w:t>
      </w:r>
    </w:p>
    <w:p w14:paraId="603731C9" w14:textId="02D6EA40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- Сокращение выбросов парниковых газов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Scope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1&amp;2 на 36% и сокращение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Scope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3 на 13% по сравнению с 2019 годом</w:t>
      </w:r>
    </w:p>
    <w:p w14:paraId="603731CA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19925FAC" w14:textId="77777777" w:rsidR="00691C19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Главный исполнительный директор (CEO) Валерио Баттиста прокомментировал:</w:t>
      </w:r>
    </w:p>
    <w:p w14:paraId="603731CB" w14:textId="5B8F696E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«Р</w:t>
      </w:r>
      <w:r w:rsidR="00691C19" w:rsidRPr="00E33525">
        <w:rPr>
          <w:rFonts w:ascii="Montserrat" w:hAnsi="Montserrat" w:cs="AppleSystemUIFont"/>
          <w:kern w:val="0"/>
          <w:sz w:val="20"/>
          <w:szCs w:val="20"/>
        </w:rPr>
        <w:t>ост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маржи и </w:t>
      </w:r>
      <w:r w:rsidR="00691C19" w:rsidRPr="00E33525">
        <w:rPr>
          <w:rFonts w:ascii="Montserrat" w:hAnsi="Montserrat" w:cs="AppleSystemUIFont"/>
          <w:kern w:val="0"/>
          <w:sz w:val="20"/>
          <w:szCs w:val="20"/>
        </w:rPr>
        <w:t>мощная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генерация денежных средств, достигнутые в 2023 году, подтвердили устойчивость Prysmian и ведущее положение на рынке благодаря нашему полному и сбалансированному портфелю, хорошо адаптированному к структурным тенденциям электрификации и перехода к энергетике. В сложной среде мы вновь достигли отличных результатов и обеспечили создание ценности для всех заинтересованных сторон. 2023 год стал моим последним годом в качестве главного исполнительного директора Prysmian, и я невероятно горжусь компанией, которую мы построили за последние 20 лет – это сильная организация, которая лидирует в индустрии и обладает технологиями и ресурсами для использования захватывающих рыночных возможностей и установления новых рекордов из года в год».</w:t>
      </w:r>
    </w:p>
    <w:p w14:paraId="6AD4D90A" w14:textId="77777777" w:rsidR="00D84D1F" w:rsidRPr="00E33525" w:rsidRDefault="00D84D1F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7F3A4E8B" w14:textId="77777777" w:rsidR="00D84D1F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Массимо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Баттайни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, назначенный главный исполнительный директор, заявил: </w:t>
      </w:r>
    </w:p>
    <w:p w14:paraId="603731CC" w14:textId="2FF89F4C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«На нашем Дне капитальных рынков мы представили нашу стратегию </w:t>
      </w:r>
      <w:r w:rsidR="00C52FE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CONNECT</w:t>
      </w:r>
      <w:r w:rsidR="00C52FEE" w:rsidRPr="00E33525">
        <w:rPr>
          <w:rFonts w:ascii="Montserrat" w:hAnsi="Montserrat" w:cs="AppleSystemUIFont"/>
          <w:kern w:val="0"/>
          <w:sz w:val="20"/>
          <w:szCs w:val="20"/>
        </w:rPr>
        <w:t xml:space="preserve"> </w:t>
      </w:r>
      <w:r w:rsidR="00C52FE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TO</w:t>
      </w:r>
      <w:r w:rsidR="00C52FEE" w:rsidRPr="00E33525">
        <w:rPr>
          <w:rFonts w:ascii="Montserrat" w:hAnsi="Montserrat" w:cs="AppleSystemUIFont"/>
          <w:kern w:val="0"/>
          <w:sz w:val="20"/>
          <w:szCs w:val="20"/>
        </w:rPr>
        <w:t xml:space="preserve"> </w:t>
      </w:r>
      <w:r w:rsidR="00C52FEE" w:rsidRPr="00E33525">
        <w:rPr>
          <w:rFonts w:ascii="Montserrat" w:hAnsi="Montserrat" w:cs="AppleSystemUIFont"/>
          <w:kern w:val="0"/>
          <w:sz w:val="20"/>
          <w:szCs w:val="20"/>
          <w:lang w:val="en-US"/>
        </w:rPr>
        <w:t>LEAD</w:t>
      </w:r>
      <w:r w:rsidR="00C52FEE" w:rsidRPr="00E33525">
        <w:rPr>
          <w:rFonts w:ascii="Montserrat" w:hAnsi="Montserrat" w:cs="AppleSystemUIFont"/>
          <w:kern w:val="0"/>
          <w:sz w:val="20"/>
          <w:szCs w:val="20"/>
        </w:rPr>
        <w:t>,</w:t>
      </w: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направленную на использование лидирующего рыночного положения группы для использования возможностей, представленных текущими рыночными тенденциями. Мы перестроили наш бизнес на четыре новых сегмента с 1 января 2024 года, чтобы лучше захватить эти возможности. Мы продолжаем быть в авангарде инноваций благодаря нашим беспрецедентным возможностям в области НИОКР и глубокому пониманию эволюционирующей рыночной динамики. Учитывая наш твердый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бэклог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по всем сегментам, мы уверены в достижении целей на 2024 год и хорошо продвигаемся к </w:t>
      </w:r>
      <w:r w:rsidRPr="00E33525">
        <w:rPr>
          <w:rFonts w:ascii="Montserrat" w:hAnsi="Montserrat" w:cs="AppleSystemUIFont"/>
          <w:kern w:val="0"/>
          <w:sz w:val="20"/>
          <w:szCs w:val="20"/>
        </w:rPr>
        <w:lastRenderedPageBreak/>
        <w:t>достижению среднесрочных целей, очерченных на Дне капитальных рынков. С нетерпением жду возможности вывести компанию и нашу великолепную команду на новый уровень и укрепить нашу роль как глобального провайдера кабельных решений, лидирующего в энергетическом переходе и цифровой трансформации».</w:t>
      </w:r>
    </w:p>
    <w:p w14:paraId="73A6D2D0" w14:textId="77777777" w:rsidR="00542517" w:rsidRPr="00E33525" w:rsidRDefault="00542517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4D636D59" w14:textId="77777777" w:rsidR="000347DC" w:rsidRPr="00E33525" w:rsidRDefault="005011FA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1 </w:t>
      </w:r>
    </w:p>
    <w:p w14:paraId="603731CD" w14:textId="0C69AECC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Цель по снижению выбросов парниковых газов на 47% была утверждена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SBTi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в июне 2023 года. Диапазон </w:t>
      </w:r>
      <w:proofErr w:type="gramStart"/>
      <w:r w:rsidRPr="00E33525">
        <w:rPr>
          <w:rFonts w:ascii="Montserrat" w:hAnsi="Montserrat" w:cs="AppleSystemUIFont"/>
          <w:kern w:val="0"/>
          <w:sz w:val="20"/>
          <w:szCs w:val="20"/>
        </w:rPr>
        <w:t>55-60</w:t>
      </w:r>
      <w:proofErr w:type="gramEnd"/>
      <w:r w:rsidRPr="00E33525">
        <w:rPr>
          <w:rFonts w:ascii="Montserrat" w:hAnsi="Montserrat" w:cs="AppleSystemUIFont"/>
          <w:kern w:val="0"/>
          <w:sz w:val="20"/>
          <w:szCs w:val="20"/>
        </w:rPr>
        <w:t>% - это новая цель, предложенная Prysmian в соответствии с траекторией к нулевым выбросам к 2035 году.</w:t>
      </w:r>
    </w:p>
    <w:p w14:paraId="2A2FF979" w14:textId="77777777" w:rsidR="00542517" w:rsidRPr="00E33525" w:rsidRDefault="00542517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CE" w14:textId="61F25EE9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Этот пресс-релиз доступен на сайте компании </w:t>
      </w:r>
      <w:hyperlink r:id="rId5" w:history="1">
        <w:r w:rsidRPr="00E33525">
          <w:rPr>
            <w:rFonts w:ascii="Montserrat" w:hAnsi="Montserrat" w:cs="AppleSystemUIFont"/>
            <w:kern w:val="0"/>
            <w:sz w:val="20"/>
            <w:szCs w:val="20"/>
          </w:rPr>
          <w:t>www.prysmian.com</w:t>
        </w:r>
      </w:hyperlink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и в механизме центрального хранения регулируемой информации, предоставляемом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Teleborsa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S.r.l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. на </w:t>
      </w:r>
      <w:hyperlink r:id="rId6" w:history="1">
        <w:r w:rsidRPr="00E33525">
          <w:rPr>
            <w:rFonts w:ascii="Montserrat" w:hAnsi="Montserrat" w:cs="AppleSystemUIFont"/>
            <w:kern w:val="0"/>
            <w:sz w:val="20"/>
            <w:szCs w:val="20"/>
          </w:rPr>
          <w:t>www.emarketstorage.com</w:t>
        </w:r>
      </w:hyperlink>
      <w:r w:rsidRPr="00E33525">
        <w:rPr>
          <w:rFonts w:ascii="Montserrat" w:hAnsi="Montserrat" w:cs="AppleSystemUIFont"/>
          <w:kern w:val="0"/>
          <w:sz w:val="20"/>
          <w:szCs w:val="20"/>
        </w:rPr>
        <w:t>.</w:t>
      </w:r>
    </w:p>
    <w:p w14:paraId="603731CF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D0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b/>
          <w:bCs/>
          <w:kern w:val="0"/>
          <w:sz w:val="20"/>
          <w:szCs w:val="20"/>
        </w:rPr>
        <w:t>ФИНАНСОВЫЕ ПОКАЗАТЕЛИ</w:t>
      </w:r>
    </w:p>
    <w:p w14:paraId="603731D1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(в миллионах евро)</w:t>
      </w:r>
    </w:p>
    <w:p w14:paraId="603731D2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Продажи</w:t>
      </w:r>
    </w:p>
    <w:p w14:paraId="603731D3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Поправочный EBITDA</w:t>
      </w:r>
    </w:p>
    <w:p w14:paraId="603731D4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Чистая прибыль группы</w:t>
      </w:r>
    </w:p>
    <w:p w14:paraId="603731D5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Чистый финансовый долг</w:t>
      </w:r>
    </w:p>
    <w:p w14:paraId="603731D6" w14:textId="0D824EDB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Чистый денежный поток</w:t>
      </w:r>
    </w:p>
    <w:p w14:paraId="603731D7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Дивиденд на акцию (€)</w:t>
      </w:r>
    </w:p>
    <w:p w14:paraId="603731D8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277E7278" w14:textId="77777777" w:rsidR="00F20817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Милан, 29 февраля 2024 года</w:t>
      </w:r>
    </w:p>
    <w:p w14:paraId="603731D9" w14:textId="64C91270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Совет директоров Prysmian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S.p.A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>. утвердил консолидированные результаты группы за 2023</w:t>
      </w:r>
      <w:r w:rsidR="00F20817" w:rsidRPr="00E33525">
        <w:rPr>
          <w:rFonts w:ascii="Montserrat" w:hAnsi="Montserrat" w:cs="AppleSystemUIFont"/>
          <w:kern w:val="0"/>
          <w:sz w:val="20"/>
          <w:szCs w:val="20"/>
        </w:rPr>
        <w:t xml:space="preserve"> год</w:t>
      </w:r>
    </w:p>
    <w:p w14:paraId="68231890" w14:textId="77777777" w:rsidR="005011FA" w:rsidRPr="00E33525" w:rsidRDefault="005011FA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DA" w14:textId="00CA336A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Продажи группы составили 15354 миллиона евро с незначительным органическим снижением на -1,1% по сравнению с 2022 годом. Бизнес проектов сообщил о двузначном органическом росте (+15,3%) благодаря последовательному выполнению проектов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межсоединения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и внешних ветряных ферм, а также проектов с лучшими маржами. Продажи в Энергетическом Бизнесе продолжают получать выгоду от факторов роста энергетического перехода: расширения и модернизации энергетических сетей, производства энергии из возобновляемых источников и развития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электромобильности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и облачных технологий. В целом Энергетический Бизнес показал незначительный органический рост на -1,3% с положительным органическим ростом +1,7% в сегменте Промышленных и Сетевых Компонентов. Объемы в Телекоммуникационном Бизнесе резко снизились во второй половине года, в основном из-за спада на рынке США.</w:t>
      </w:r>
    </w:p>
    <w:p w14:paraId="420CD167" w14:textId="77777777" w:rsidR="005011FA" w:rsidRPr="00E33525" w:rsidRDefault="005011FA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DB" w14:textId="51E10F1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Поправочный EBITDA вырос на 9,4%, до 1628 миллионов евро, </w:t>
      </w:r>
      <w:proofErr w:type="gramStart"/>
      <w:r w:rsidRPr="00E33525">
        <w:rPr>
          <w:rFonts w:ascii="Montserrat" w:hAnsi="Montserrat" w:cs="AppleSystemUIFont"/>
          <w:kern w:val="0"/>
          <w:sz w:val="20"/>
          <w:szCs w:val="20"/>
        </w:rPr>
        <w:t>с значительным</w:t>
      </w:r>
      <w:proofErr w:type="gram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улучшением маржи до 10,6% по сравнению с 9,3% в 2022 году. Существенное улучшение в Бизнесе Проектов с поправочным EBITDA на уровне 300 миллионов евро (+23,5% по сравнению с 2022 годом) благодаря гладкой реализации и улучшению маржи проектов. Маржи Энергетического Бизнеса также значительно улучшились (10,5% против 8,1% в 2022 году), что было обусловлено повышением рентабельности в распределении энергии, в частности, в Промышленных и Сетевых Компонентах, где поправочный EBITDA вырос до 361 миллиона евро (+43,2% по сравнению с 2022 годом). Резкий спад рынка, особенно в США, негативно сказался на Телекоммуникационном Бизнесе, с поправочным EBITDA снизившимся до 140 миллионов евро по сравнению с 271 миллионом в 2022 году. Четвертый квартал был особенно слабым, также под влиянием негативных единовременных факторов на фоне обычной сезонности бизнеса.</w:t>
      </w:r>
    </w:p>
    <w:p w14:paraId="2795FEA6" w14:textId="77777777" w:rsidR="005011FA" w:rsidRPr="00E33525" w:rsidRDefault="005011FA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DC" w14:textId="257228DA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EBITDA составила 1485 миллионов евро (1387 миллионов евро в 2022 году), включая чистые расходы на реорганизацию компании, неоднократные расходы и другие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неоперационные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расходы на сумму 143 миллиона евро (101 миллион евро в 2022 году). Чистая прибыль </w:t>
      </w:r>
      <w:r w:rsidRPr="00E33525">
        <w:rPr>
          <w:rFonts w:ascii="Montserrat" w:hAnsi="Montserrat" w:cs="AppleSystemUIFont"/>
          <w:kern w:val="0"/>
          <w:sz w:val="20"/>
          <w:szCs w:val="20"/>
        </w:rPr>
        <w:lastRenderedPageBreak/>
        <w:t xml:space="preserve">увеличилась на 7,5% до 547 миллионов евро (509 миллионов в 2022 году). Чистая прибыль, приходящаяся на владельцев основного капитала компании, составила 529 миллионов евро (504 миллиона евро в 2022 году). Этот результат особенно положительный, учитывая негативное влияние амортизации инвестиций в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Yangtze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Optical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Fiber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(YOFC) на сумму 168 миллионов евро и амортизации завода по производству волокна в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Баттипалье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(Италия) на сумму 42 миллиона евро.</w:t>
      </w:r>
    </w:p>
    <w:p w14:paraId="603731DD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Чистый денежный поток2 составил 724 миллиона евро, что на 29,5% больше, чем 559 миллионов евро в 2022 году, значительно выше верхней границы прогноза (</w:t>
      </w:r>
      <w:proofErr w:type="gramStart"/>
      <w:r w:rsidRPr="00E33525">
        <w:rPr>
          <w:rFonts w:ascii="Montserrat" w:hAnsi="Montserrat" w:cs="AppleSystemUIFont"/>
          <w:kern w:val="0"/>
          <w:sz w:val="20"/>
          <w:szCs w:val="20"/>
        </w:rPr>
        <w:t>550-650</w:t>
      </w:r>
      <w:proofErr w:type="gram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миллионов евро).</w:t>
      </w:r>
    </w:p>
    <w:p w14:paraId="642C02EE" w14:textId="77777777" w:rsidR="005011FA" w:rsidRPr="00E33525" w:rsidRDefault="005011FA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DE" w14:textId="4056FCC6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Чистый финансовый долг резко сократился до 1188 миллионов евро на конец года (1417 миллионов евро на 31 декабря 2022 года) благодаря сильной генерации денежных средств.</w:t>
      </w:r>
    </w:p>
    <w:p w14:paraId="603731DF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55D5BC6C" w14:textId="77777777" w:rsidR="000347DC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2 </w:t>
      </w:r>
    </w:p>
    <w:p w14:paraId="603731E0" w14:textId="7A66D3BC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Чистый денежный поток исключая Приобретения &amp; </w:t>
      </w:r>
      <w:proofErr w:type="spellStart"/>
      <w:r w:rsidRPr="00E33525">
        <w:rPr>
          <w:rFonts w:ascii="Montserrat" w:hAnsi="Montserrat" w:cs="AppleSystemUIFont"/>
          <w:kern w:val="0"/>
          <w:sz w:val="20"/>
          <w:szCs w:val="20"/>
        </w:rPr>
        <w:t>Алиенации</w:t>
      </w:r>
      <w:proofErr w:type="spellEnd"/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 и влияние Антимонопольного воздействия </w:t>
      </w:r>
    </w:p>
    <w:p w14:paraId="37A895EC" w14:textId="77777777" w:rsidR="000347DC" w:rsidRPr="00E33525" w:rsidRDefault="000347DC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75C7ACBF" w14:textId="77777777" w:rsidR="000347DC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 xml:space="preserve">3 </w:t>
      </w:r>
    </w:p>
    <w:p w14:paraId="603731E1" w14:textId="083B1AB2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  <w:r w:rsidRPr="00E33525">
        <w:rPr>
          <w:rFonts w:ascii="Montserrat" w:hAnsi="Montserrat" w:cs="AppleSystemUIFont"/>
          <w:kern w:val="0"/>
          <w:sz w:val="20"/>
          <w:szCs w:val="20"/>
        </w:rPr>
        <w:t>Консолидированные Финансовые Отчеты и Проект Отдельных Финансовых Отчетов в настоящее время все еще находятся на стадии аудита</w:t>
      </w:r>
    </w:p>
    <w:p w14:paraId="603731E2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E3" w14:textId="77777777" w:rsidR="00D864E6" w:rsidRPr="00E33525" w:rsidRDefault="00D864E6" w:rsidP="00D864E6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20"/>
          <w:szCs w:val="20"/>
        </w:rPr>
      </w:pPr>
    </w:p>
    <w:p w14:paraId="603731E4" w14:textId="77777777" w:rsidR="0047185A" w:rsidRDefault="0047185A"/>
    <w:sectPr w:rsidR="0047185A" w:rsidSect="00E55CD9">
      <w:pgSz w:w="12240" w:h="15840"/>
      <w:pgMar w:top="1134" w:right="850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E6"/>
    <w:rsid w:val="000347DC"/>
    <w:rsid w:val="000D12FF"/>
    <w:rsid w:val="00164351"/>
    <w:rsid w:val="001B5677"/>
    <w:rsid w:val="001C4F0D"/>
    <w:rsid w:val="003B6CFE"/>
    <w:rsid w:val="0047185A"/>
    <w:rsid w:val="005011FA"/>
    <w:rsid w:val="00542517"/>
    <w:rsid w:val="00691C19"/>
    <w:rsid w:val="008122F5"/>
    <w:rsid w:val="00967AE4"/>
    <w:rsid w:val="009D1DE0"/>
    <w:rsid w:val="00BE315E"/>
    <w:rsid w:val="00C52FEE"/>
    <w:rsid w:val="00D84D1F"/>
    <w:rsid w:val="00D864E6"/>
    <w:rsid w:val="00E33525"/>
    <w:rsid w:val="00E55CD9"/>
    <w:rsid w:val="00F20817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31B4"/>
  <w15:chartTrackingRefBased/>
  <w15:docId w15:val="{2D683B34-E31E-CD45-B51E-6595FF2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rketstorage.com/" TargetMode="External"/><Relationship Id="rId5" Type="http://schemas.openxmlformats.org/officeDocument/2006/relationships/hyperlink" Target="http://www.prysmian.co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Степанов</dc:creator>
  <cp:keywords/>
  <dc:description/>
  <cp:lastModifiedBy>Lobanova Anzhelika (EXT)</cp:lastModifiedBy>
  <cp:revision>20</cp:revision>
  <dcterms:created xsi:type="dcterms:W3CDTF">2024-04-03T13:18:00Z</dcterms:created>
  <dcterms:modified xsi:type="dcterms:W3CDTF">2024-04-25T19:57:00Z</dcterms:modified>
</cp:coreProperties>
</file>